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82"/>
        <w:ind w:right="335"/>
        <w:jc w:val="right"/>
      </w:pPr>
      <w:r>
        <w:rPr>
          <w:spacing w:val="-6"/>
        </w:rPr>
        <w:t>СТО</w:t>
      </w:r>
      <w:r>
        <w:rPr>
          <w:spacing w:val="-14"/>
        </w:rPr>
        <w:t> </w:t>
      </w:r>
      <w:r>
        <w:rPr>
          <w:spacing w:val="-6"/>
        </w:rPr>
        <w:t>Роскартография</w:t>
      </w:r>
      <w:r>
        <w:rPr>
          <w:spacing w:val="-12"/>
        </w:rPr>
        <w:t> </w:t>
      </w:r>
      <w:r>
        <w:rPr>
          <w:spacing w:val="-6"/>
        </w:rPr>
        <w:t>3.5-2020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15"/>
        </w:rPr>
      </w:pPr>
    </w:p>
    <w:p>
      <w:pPr>
        <w:spacing w:before="93"/>
        <w:ind w:left="6530" w:right="6748" w:firstLine="0"/>
        <w:jc w:val="center"/>
        <w:rPr>
          <w:b/>
          <w:sz w:val="24"/>
        </w:rPr>
      </w:pPr>
      <w:r>
        <w:rPr>
          <w:b/>
          <w:sz w:val="24"/>
        </w:rPr>
        <w:t>Приложение Б</w:t>
      </w:r>
      <w:r>
        <w:rPr>
          <w:b/>
          <w:spacing w:val="-64"/>
          <w:sz w:val="24"/>
        </w:rPr>
        <w:t> </w:t>
      </w:r>
      <w:r>
        <w:rPr>
          <w:b/>
          <w:sz w:val="24"/>
        </w:rPr>
        <w:t>(справочное)</w:t>
      </w:r>
    </w:p>
    <w:p>
      <w:pPr>
        <w:spacing w:before="0"/>
        <w:ind w:left="628" w:right="847" w:firstLine="0"/>
        <w:jc w:val="center"/>
        <w:rPr>
          <w:b/>
          <w:sz w:val="24"/>
        </w:rPr>
      </w:pPr>
      <w:r>
        <w:rPr>
          <w:b/>
          <w:sz w:val="24"/>
        </w:rPr>
        <w:t>Параметры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элементов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трансформирования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между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пространственными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прямоугольными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системами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координат</w:t>
      </w:r>
    </w:p>
    <w:p>
      <w:pPr>
        <w:pStyle w:val="BodyText"/>
        <w:spacing w:before="2"/>
        <w:rPr>
          <w:b/>
          <w:sz w:val="33"/>
        </w:rPr>
      </w:pPr>
    </w:p>
    <w:p>
      <w:pPr>
        <w:pStyle w:val="BodyText"/>
        <w:ind w:left="112" w:right="460"/>
      </w:pPr>
      <w:r>
        <w:rPr/>
        <w:t>Т</w:t>
      </w:r>
      <w:r>
        <w:rPr>
          <w:spacing w:val="30"/>
        </w:rPr>
        <w:t> </w:t>
      </w:r>
      <w:r>
        <w:rPr/>
        <w:t>а</w:t>
      </w:r>
      <w:r>
        <w:rPr>
          <w:spacing w:val="32"/>
        </w:rPr>
        <w:t> </w:t>
      </w:r>
      <w:r>
        <w:rPr/>
        <w:t>б</w:t>
      </w:r>
      <w:r>
        <w:rPr>
          <w:spacing w:val="30"/>
        </w:rPr>
        <w:t> </w:t>
      </w:r>
      <w:r>
        <w:rPr/>
        <w:t>л</w:t>
      </w:r>
      <w:r>
        <w:rPr>
          <w:spacing w:val="30"/>
        </w:rPr>
        <w:t> </w:t>
      </w:r>
      <w:r>
        <w:rPr/>
        <w:t>и</w:t>
      </w:r>
      <w:r>
        <w:rPr>
          <w:spacing w:val="31"/>
        </w:rPr>
        <w:t> </w:t>
      </w:r>
      <w:r>
        <w:rPr/>
        <w:t>ц</w:t>
      </w:r>
      <w:r>
        <w:rPr>
          <w:spacing w:val="28"/>
        </w:rPr>
        <w:t> </w:t>
      </w:r>
      <w:r>
        <w:rPr/>
        <w:t>а</w:t>
      </w:r>
      <w:r>
        <w:rPr>
          <w:spacing w:val="28"/>
        </w:rPr>
        <w:t> </w:t>
      </w:r>
      <w:r>
        <w:rPr/>
        <w:t>Б.1</w:t>
      </w:r>
      <w:r>
        <w:rPr>
          <w:spacing w:val="-2"/>
        </w:rPr>
        <w:t> </w:t>
      </w:r>
      <w:r>
        <w:rPr/>
        <w:t>–</w:t>
      </w:r>
      <w:r>
        <w:rPr>
          <w:spacing w:val="-3"/>
        </w:rPr>
        <w:t> </w:t>
      </w:r>
      <w:r>
        <w:rPr/>
        <w:t>Значения</w:t>
      </w:r>
      <w:r>
        <w:rPr>
          <w:spacing w:val="-2"/>
        </w:rPr>
        <w:t> </w:t>
      </w:r>
      <w:r>
        <w:rPr/>
        <w:t>элементов</w:t>
      </w:r>
      <w:r>
        <w:rPr>
          <w:spacing w:val="-5"/>
        </w:rPr>
        <w:t> </w:t>
      </w:r>
      <w:r>
        <w:rPr/>
        <w:t>трансформирования</w:t>
      </w:r>
      <w:r>
        <w:rPr>
          <w:spacing w:val="-5"/>
        </w:rPr>
        <w:t> </w:t>
      </w:r>
      <w:r>
        <w:rPr/>
        <w:t>между</w:t>
      </w:r>
      <w:r>
        <w:rPr>
          <w:spacing w:val="-1"/>
        </w:rPr>
        <w:t> </w:t>
      </w:r>
      <w:r>
        <w:rPr/>
        <w:t>пространственными</w:t>
      </w:r>
      <w:r>
        <w:rPr>
          <w:spacing w:val="-2"/>
        </w:rPr>
        <w:t> </w:t>
      </w:r>
      <w:r>
        <w:rPr/>
        <w:t>прямоугольными</w:t>
      </w:r>
      <w:r>
        <w:rPr>
          <w:spacing w:val="-2"/>
        </w:rPr>
        <w:t> </w:t>
      </w:r>
      <w:r>
        <w:rPr/>
        <w:t>системами</w:t>
      </w:r>
      <w:r>
        <w:rPr>
          <w:spacing w:val="-64"/>
        </w:rPr>
        <w:t> </w:t>
      </w:r>
      <w:r>
        <w:rPr/>
        <w:t>координат</w:t>
      </w:r>
    </w:p>
    <w:p>
      <w:pPr>
        <w:pStyle w:val="BodyText"/>
        <w:spacing w:before="11"/>
        <w:rPr>
          <w:sz w:val="23"/>
        </w:r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45"/>
        <w:gridCol w:w="1632"/>
        <w:gridCol w:w="1613"/>
        <w:gridCol w:w="1570"/>
        <w:gridCol w:w="1572"/>
        <w:gridCol w:w="1572"/>
        <w:gridCol w:w="1570"/>
        <w:gridCol w:w="1572"/>
        <w:gridCol w:w="1570"/>
        <w:gridCol w:w="1572"/>
      </w:tblGrid>
      <w:tr>
        <w:trPr>
          <w:trHeight w:val="553" w:hRule="atLeast"/>
        </w:trPr>
        <w:tc>
          <w:tcPr>
            <w:tcW w:w="545" w:type="dxa"/>
          </w:tcPr>
          <w:p>
            <w:pPr>
              <w:pStyle w:val="TableParagraph"/>
              <w:spacing w:line="270" w:lineRule="atLeast"/>
              <w:ind w:left="110" w:right="78"/>
              <w:jc w:val="left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п\п</w:t>
            </w:r>
          </w:p>
        </w:tc>
        <w:tc>
          <w:tcPr>
            <w:tcW w:w="1632" w:type="dxa"/>
          </w:tcPr>
          <w:p>
            <w:pPr>
              <w:pStyle w:val="TableParagraph"/>
              <w:spacing w:line="270" w:lineRule="atLeast"/>
              <w:ind w:left="107" w:right="413"/>
              <w:jc w:val="left"/>
              <w:rPr>
                <w:sz w:val="24"/>
              </w:rPr>
            </w:pPr>
            <w:r>
              <w:rPr>
                <w:sz w:val="24"/>
              </w:rPr>
              <w:t>Исходная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система</w:t>
            </w:r>
          </w:p>
        </w:tc>
        <w:tc>
          <w:tcPr>
            <w:tcW w:w="1613" w:type="dxa"/>
          </w:tcPr>
          <w:p>
            <w:pPr>
              <w:pStyle w:val="TableParagraph"/>
              <w:spacing w:line="270" w:lineRule="atLeast"/>
              <w:ind w:left="110" w:right="412"/>
              <w:jc w:val="left"/>
              <w:rPr>
                <w:sz w:val="24"/>
              </w:rPr>
            </w:pPr>
            <w:r>
              <w:rPr>
                <w:sz w:val="24"/>
              </w:rPr>
              <w:t>Конечная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система</w:t>
            </w:r>
          </w:p>
        </w:tc>
        <w:tc>
          <w:tcPr>
            <w:tcW w:w="1570" w:type="dxa"/>
          </w:tcPr>
          <w:p>
            <w:pPr>
              <w:pStyle w:val="TableParagraph"/>
              <w:spacing w:before="2"/>
              <w:ind w:left="474"/>
              <w:jc w:val="left"/>
              <w:rPr>
                <w:sz w:val="24"/>
              </w:rPr>
            </w:pPr>
            <w:r>
              <w:rPr>
                <w:sz w:val="24"/>
              </w:rPr>
              <w:t>ΔX,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</w:t>
            </w:r>
          </w:p>
        </w:tc>
        <w:tc>
          <w:tcPr>
            <w:tcW w:w="1572" w:type="dxa"/>
          </w:tcPr>
          <w:p>
            <w:pPr>
              <w:pStyle w:val="TableParagraph"/>
              <w:spacing w:before="2"/>
              <w:ind w:left="476"/>
              <w:jc w:val="left"/>
              <w:rPr>
                <w:sz w:val="24"/>
              </w:rPr>
            </w:pPr>
            <w:r>
              <w:rPr>
                <w:sz w:val="24"/>
              </w:rPr>
              <w:t>ΔY,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</w:t>
            </w:r>
          </w:p>
        </w:tc>
        <w:tc>
          <w:tcPr>
            <w:tcW w:w="1572" w:type="dxa"/>
          </w:tcPr>
          <w:p>
            <w:pPr>
              <w:pStyle w:val="TableParagraph"/>
              <w:spacing w:before="2"/>
              <w:ind w:left="481"/>
              <w:jc w:val="left"/>
              <w:rPr>
                <w:sz w:val="24"/>
              </w:rPr>
            </w:pPr>
            <w:r>
              <w:rPr>
                <w:sz w:val="24"/>
              </w:rPr>
              <w:t>ΔZ, м</w:t>
            </w:r>
          </w:p>
        </w:tc>
        <w:tc>
          <w:tcPr>
            <w:tcW w:w="1570" w:type="dxa"/>
          </w:tcPr>
          <w:p>
            <w:pPr>
              <w:pStyle w:val="TableParagraph"/>
              <w:spacing w:before="2"/>
              <w:ind w:right="117"/>
              <w:rPr>
                <w:sz w:val="24"/>
              </w:rPr>
            </w:pPr>
            <w:r>
              <w:rPr>
                <w:position w:val="1"/>
                <w:sz w:val="24"/>
              </w:rPr>
              <w:t>ω</w:t>
            </w:r>
            <w:r>
              <w:rPr>
                <w:sz w:val="16"/>
              </w:rPr>
              <w:t>x</w:t>
            </w:r>
            <w:r>
              <w:rPr>
                <w:position w:val="1"/>
                <w:sz w:val="24"/>
              </w:rPr>
              <w:t>, угл. сек.</w:t>
            </w:r>
          </w:p>
        </w:tc>
        <w:tc>
          <w:tcPr>
            <w:tcW w:w="1572" w:type="dxa"/>
          </w:tcPr>
          <w:p>
            <w:pPr>
              <w:pStyle w:val="TableParagraph"/>
              <w:spacing w:before="2"/>
              <w:ind w:right="117"/>
              <w:rPr>
                <w:sz w:val="24"/>
              </w:rPr>
            </w:pPr>
            <w:r>
              <w:rPr>
                <w:position w:val="1"/>
                <w:sz w:val="24"/>
              </w:rPr>
              <w:t>ω</w:t>
            </w:r>
            <w:r>
              <w:rPr>
                <w:sz w:val="16"/>
              </w:rPr>
              <w:t>y</w:t>
            </w:r>
            <w:r>
              <w:rPr>
                <w:position w:val="1"/>
                <w:sz w:val="24"/>
              </w:rPr>
              <w:t>, угл. сек.</w:t>
            </w:r>
          </w:p>
        </w:tc>
        <w:tc>
          <w:tcPr>
            <w:tcW w:w="1570" w:type="dxa"/>
          </w:tcPr>
          <w:p>
            <w:pPr>
              <w:pStyle w:val="TableParagraph"/>
              <w:spacing w:before="2"/>
              <w:ind w:right="117"/>
              <w:rPr>
                <w:sz w:val="24"/>
              </w:rPr>
            </w:pPr>
            <w:r>
              <w:rPr>
                <w:position w:val="1"/>
                <w:sz w:val="24"/>
              </w:rPr>
              <w:t>ω</w:t>
            </w:r>
            <w:r>
              <w:rPr>
                <w:sz w:val="16"/>
              </w:rPr>
              <w:t>z</w:t>
            </w:r>
            <w:r>
              <w:rPr>
                <w:position w:val="1"/>
                <w:sz w:val="24"/>
              </w:rPr>
              <w:t>, угл. сек.</w:t>
            </w:r>
          </w:p>
        </w:tc>
        <w:tc>
          <w:tcPr>
            <w:tcW w:w="1572" w:type="dxa"/>
          </w:tcPr>
          <w:p>
            <w:pPr>
              <w:pStyle w:val="TableParagraph"/>
              <w:ind w:left="382"/>
              <w:jc w:val="left"/>
              <w:rPr>
                <w:sz w:val="16"/>
              </w:rPr>
            </w:pPr>
            <w:r>
              <w:rPr>
                <w:rFonts w:ascii="Cambria Math"/>
                <w:sz w:val="24"/>
              </w:rPr>
              <w:t>m</w:t>
            </w:r>
            <w:r>
              <w:rPr>
                <w:rFonts w:ascii="Cambria Math"/>
                <w:spacing w:val="13"/>
                <w:sz w:val="24"/>
              </w:rPr>
              <w:t> </w:t>
            </w:r>
            <w:r>
              <w:rPr>
                <w:sz w:val="24"/>
              </w:rPr>
              <w:t>x 10</w:t>
            </w:r>
            <w:r>
              <w:rPr>
                <w:position w:val="8"/>
                <w:sz w:val="16"/>
              </w:rPr>
              <w:t>6</w:t>
            </w:r>
          </w:p>
        </w:tc>
      </w:tr>
      <w:tr>
        <w:trPr>
          <w:trHeight w:val="551" w:hRule="atLeast"/>
        </w:trPr>
        <w:tc>
          <w:tcPr>
            <w:tcW w:w="545" w:type="dxa"/>
          </w:tcPr>
          <w:p>
            <w:pPr>
              <w:pStyle w:val="TableParagraph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32" w:type="dxa"/>
          </w:tcPr>
          <w:p>
            <w:pPr>
              <w:pStyle w:val="TableParagraph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СК-42</w:t>
            </w:r>
          </w:p>
        </w:tc>
        <w:tc>
          <w:tcPr>
            <w:tcW w:w="1613" w:type="dxa"/>
          </w:tcPr>
          <w:p>
            <w:pPr>
              <w:pStyle w:val="TableParagraph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ГСК-2011</w:t>
            </w:r>
          </w:p>
        </w:tc>
        <w:tc>
          <w:tcPr>
            <w:tcW w:w="1570" w:type="dxa"/>
          </w:tcPr>
          <w:p>
            <w:pPr>
              <w:pStyle w:val="TableParagraph"/>
              <w:ind w:right="94"/>
              <w:rPr>
                <w:sz w:val="24"/>
              </w:rPr>
            </w:pPr>
            <w:r>
              <w:rPr>
                <w:sz w:val="24"/>
              </w:rPr>
              <w:t>+23,557</w:t>
            </w:r>
          </w:p>
          <w:p>
            <w:pPr>
              <w:pStyle w:val="TableParagraph"/>
              <w:spacing w:line="255" w:lineRule="exact"/>
              <w:ind w:right="92"/>
              <w:rPr>
                <w:sz w:val="24"/>
              </w:rPr>
            </w:pPr>
            <w:r>
              <w:rPr>
                <w:sz w:val="24"/>
              </w:rPr>
              <w:t>±2,00</w:t>
            </w:r>
          </w:p>
        </w:tc>
        <w:tc>
          <w:tcPr>
            <w:tcW w:w="1572" w:type="dxa"/>
          </w:tcPr>
          <w:p>
            <w:pPr>
              <w:pStyle w:val="TableParagraph"/>
              <w:ind w:right="92"/>
              <w:rPr>
                <w:sz w:val="24"/>
              </w:rPr>
            </w:pPr>
            <w:r>
              <w:rPr>
                <w:sz w:val="24"/>
              </w:rPr>
              <w:t>-140,858</w:t>
            </w:r>
          </w:p>
          <w:p>
            <w:pPr>
              <w:pStyle w:val="TableParagraph"/>
              <w:spacing w:line="255" w:lineRule="exact"/>
              <w:ind w:right="92"/>
              <w:rPr>
                <w:sz w:val="24"/>
              </w:rPr>
            </w:pPr>
            <w:r>
              <w:rPr>
                <w:sz w:val="24"/>
              </w:rPr>
              <w:t>±2,00</w:t>
            </w:r>
          </w:p>
        </w:tc>
        <w:tc>
          <w:tcPr>
            <w:tcW w:w="1572" w:type="dxa"/>
          </w:tcPr>
          <w:p>
            <w:pPr>
              <w:pStyle w:val="TableParagraph"/>
              <w:ind w:right="9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79,770</w:t>
            </w:r>
          </w:p>
          <w:p>
            <w:pPr>
              <w:pStyle w:val="TableParagraph"/>
              <w:spacing w:line="255" w:lineRule="exact"/>
              <w:ind w:right="94"/>
              <w:rPr>
                <w:sz w:val="24"/>
              </w:rPr>
            </w:pPr>
            <w:r>
              <w:rPr>
                <w:sz w:val="24"/>
              </w:rPr>
              <w:t>±3,00</w:t>
            </w:r>
          </w:p>
        </w:tc>
        <w:tc>
          <w:tcPr>
            <w:tcW w:w="1570" w:type="dxa"/>
          </w:tcPr>
          <w:p>
            <w:pPr>
              <w:pStyle w:val="TableParagraph"/>
              <w:ind w:right="96"/>
              <w:rPr>
                <w:sz w:val="24"/>
              </w:rPr>
            </w:pPr>
            <w:r>
              <w:rPr>
                <w:sz w:val="24"/>
              </w:rPr>
              <w:t>-0,0017</w:t>
            </w:r>
          </w:p>
          <w:p>
            <w:pPr>
              <w:pStyle w:val="TableParagraph"/>
              <w:spacing w:line="255" w:lineRule="exact"/>
              <w:ind w:right="92"/>
              <w:rPr>
                <w:sz w:val="24"/>
              </w:rPr>
            </w:pPr>
            <w:r>
              <w:rPr>
                <w:sz w:val="24"/>
              </w:rPr>
              <w:t>±10</w:t>
            </w:r>
          </w:p>
        </w:tc>
        <w:tc>
          <w:tcPr>
            <w:tcW w:w="1572" w:type="dxa"/>
          </w:tcPr>
          <w:p>
            <w:pPr>
              <w:pStyle w:val="TableParagraph"/>
              <w:ind w:right="93"/>
              <w:rPr>
                <w:sz w:val="24"/>
              </w:rPr>
            </w:pPr>
            <w:r>
              <w:rPr>
                <w:sz w:val="24"/>
              </w:rPr>
              <w:t>-0,3464</w:t>
            </w:r>
          </w:p>
          <w:p>
            <w:pPr>
              <w:pStyle w:val="TableParagraph"/>
              <w:spacing w:line="255" w:lineRule="exact"/>
              <w:ind w:right="92"/>
              <w:rPr>
                <w:sz w:val="24"/>
              </w:rPr>
            </w:pPr>
            <w:r>
              <w:rPr>
                <w:sz w:val="24"/>
              </w:rPr>
              <w:t>±10</w:t>
            </w:r>
          </w:p>
        </w:tc>
        <w:tc>
          <w:tcPr>
            <w:tcW w:w="1570" w:type="dxa"/>
          </w:tcPr>
          <w:p>
            <w:pPr>
              <w:pStyle w:val="TableParagraph"/>
              <w:ind w:right="93"/>
              <w:rPr>
                <w:sz w:val="24"/>
              </w:rPr>
            </w:pPr>
            <w:r>
              <w:rPr>
                <w:sz w:val="24"/>
              </w:rPr>
              <w:t>-0,7943</w:t>
            </w:r>
          </w:p>
          <w:p>
            <w:pPr>
              <w:pStyle w:val="TableParagraph"/>
              <w:spacing w:line="255" w:lineRule="exact"/>
              <w:ind w:right="94"/>
              <w:rPr>
                <w:sz w:val="24"/>
              </w:rPr>
            </w:pPr>
            <w:r>
              <w:rPr>
                <w:sz w:val="24"/>
              </w:rPr>
              <w:t>±10</w:t>
            </w:r>
          </w:p>
        </w:tc>
        <w:tc>
          <w:tcPr>
            <w:tcW w:w="1572" w:type="dxa"/>
          </w:tcPr>
          <w:p>
            <w:pPr>
              <w:pStyle w:val="TableParagraph"/>
              <w:ind w:right="93"/>
              <w:rPr>
                <w:sz w:val="24"/>
              </w:rPr>
            </w:pPr>
            <w:r>
              <w:rPr>
                <w:sz w:val="24"/>
              </w:rPr>
              <w:t>-0,2274</w:t>
            </w:r>
          </w:p>
          <w:p>
            <w:pPr>
              <w:pStyle w:val="TableParagraph"/>
              <w:spacing w:line="255" w:lineRule="exact"/>
              <w:ind w:right="93"/>
              <w:rPr>
                <w:sz w:val="24"/>
              </w:rPr>
            </w:pPr>
            <w:r>
              <w:rPr>
                <w:sz w:val="24"/>
              </w:rPr>
              <w:t>±0,25</w:t>
            </w:r>
          </w:p>
        </w:tc>
      </w:tr>
      <w:tr>
        <w:trPr>
          <w:trHeight w:val="551" w:hRule="atLeast"/>
        </w:trPr>
        <w:tc>
          <w:tcPr>
            <w:tcW w:w="545" w:type="dxa"/>
          </w:tcPr>
          <w:p>
            <w:pPr>
              <w:pStyle w:val="TableParagraph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32" w:type="dxa"/>
          </w:tcPr>
          <w:p>
            <w:pPr>
              <w:pStyle w:val="TableParagraph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СК-42</w:t>
            </w:r>
          </w:p>
        </w:tc>
        <w:tc>
          <w:tcPr>
            <w:tcW w:w="1613" w:type="dxa"/>
          </w:tcPr>
          <w:p>
            <w:pPr>
              <w:pStyle w:val="TableParagraph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WGS-84</w:t>
            </w:r>
          </w:p>
          <w:p>
            <w:pPr>
              <w:pStyle w:val="TableParagraph"/>
              <w:spacing w:line="255" w:lineRule="exact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(G1150)</w:t>
            </w:r>
          </w:p>
        </w:tc>
        <w:tc>
          <w:tcPr>
            <w:tcW w:w="1570" w:type="dxa"/>
          </w:tcPr>
          <w:p>
            <w:pPr>
              <w:pStyle w:val="TableParagraph"/>
              <w:ind w:right="93"/>
              <w:rPr>
                <w:sz w:val="24"/>
              </w:rPr>
            </w:pPr>
            <w:r>
              <w:rPr>
                <w:sz w:val="24"/>
              </w:rPr>
              <w:t>+23,570</w:t>
            </w:r>
          </w:p>
        </w:tc>
        <w:tc>
          <w:tcPr>
            <w:tcW w:w="1572" w:type="dxa"/>
          </w:tcPr>
          <w:p>
            <w:pPr>
              <w:pStyle w:val="TableParagraph"/>
              <w:ind w:right="92"/>
              <w:rPr>
                <w:sz w:val="24"/>
              </w:rPr>
            </w:pPr>
            <w:r>
              <w:rPr>
                <w:sz w:val="24"/>
              </w:rPr>
              <w:t>-140,950</w:t>
            </w:r>
          </w:p>
        </w:tc>
        <w:tc>
          <w:tcPr>
            <w:tcW w:w="1572" w:type="dxa"/>
          </w:tcPr>
          <w:p>
            <w:pPr>
              <w:pStyle w:val="TableParagraph"/>
              <w:ind w:right="95"/>
              <w:rPr>
                <w:sz w:val="24"/>
              </w:rPr>
            </w:pPr>
            <w:r>
              <w:rPr>
                <w:sz w:val="24"/>
              </w:rPr>
              <w:t>-79,800</w:t>
            </w:r>
          </w:p>
        </w:tc>
        <w:tc>
          <w:tcPr>
            <w:tcW w:w="1570" w:type="dxa"/>
          </w:tcPr>
          <w:p>
            <w:pPr>
              <w:pStyle w:val="TableParagraph"/>
              <w:ind w:right="92"/>
              <w:rPr>
                <w:sz w:val="24"/>
              </w:rPr>
            </w:pPr>
            <w:r>
              <w:rPr>
                <w:sz w:val="24"/>
              </w:rPr>
              <w:t>0,0000</w:t>
            </w:r>
          </w:p>
        </w:tc>
        <w:tc>
          <w:tcPr>
            <w:tcW w:w="1572" w:type="dxa"/>
          </w:tcPr>
          <w:p>
            <w:pPr>
              <w:pStyle w:val="TableParagraph"/>
              <w:ind w:right="93"/>
              <w:rPr>
                <w:sz w:val="24"/>
              </w:rPr>
            </w:pPr>
            <w:r>
              <w:rPr>
                <w:sz w:val="24"/>
              </w:rPr>
              <w:t>-0,3500</w:t>
            </w:r>
          </w:p>
        </w:tc>
        <w:tc>
          <w:tcPr>
            <w:tcW w:w="1570" w:type="dxa"/>
          </w:tcPr>
          <w:p>
            <w:pPr>
              <w:pStyle w:val="TableParagraph"/>
              <w:ind w:right="94"/>
              <w:rPr>
                <w:sz w:val="24"/>
              </w:rPr>
            </w:pPr>
            <w:r>
              <w:rPr>
                <w:sz w:val="24"/>
              </w:rPr>
              <w:t>-0,7900</w:t>
            </w:r>
          </w:p>
        </w:tc>
        <w:tc>
          <w:tcPr>
            <w:tcW w:w="1572" w:type="dxa"/>
          </w:tcPr>
          <w:p>
            <w:pPr>
              <w:pStyle w:val="TableParagraph"/>
              <w:ind w:right="94"/>
              <w:rPr>
                <w:sz w:val="24"/>
              </w:rPr>
            </w:pPr>
            <w:r>
              <w:rPr>
                <w:sz w:val="24"/>
              </w:rPr>
              <w:t>-0,2200</w:t>
            </w:r>
          </w:p>
        </w:tc>
      </w:tr>
      <w:tr>
        <w:trPr>
          <w:trHeight w:val="551" w:hRule="atLeast"/>
        </w:trPr>
        <w:tc>
          <w:tcPr>
            <w:tcW w:w="545" w:type="dxa"/>
          </w:tcPr>
          <w:p>
            <w:pPr>
              <w:pStyle w:val="TableParagraph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32" w:type="dxa"/>
          </w:tcPr>
          <w:p>
            <w:pPr>
              <w:pStyle w:val="TableParagraph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СК-95</w:t>
            </w:r>
          </w:p>
        </w:tc>
        <w:tc>
          <w:tcPr>
            <w:tcW w:w="1613" w:type="dxa"/>
          </w:tcPr>
          <w:p>
            <w:pPr>
              <w:pStyle w:val="TableParagraph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ГСК-2011</w:t>
            </w:r>
          </w:p>
        </w:tc>
        <w:tc>
          <w:tcPr>
            <w:tcW w:w="1570" w:type="dxa"/>
          </w:tcPr>
          <w:p>
            <w:pPr>
              <w:pStyle w:val="TableParagraph"/>
              <w:ind w:right="94"/>
              <w:rPr>
                <w:sz w:val="24"/>
              </w:rPr>
            </w:pPr>
            <w:r>
              <w:rPr>
                <w:sz w:val="24"/>
              </w:rPr>
              <w:t>+24,457</w:t>
            </w:r>
          </w:p>
          <w:p>
            <w:pPr>
              <w:pStyle w:val="TableParagraph"/>
              <w:spacing w:line="255" w:lineRule="exact"/>
              <w:ind w:right="92"/>
              <w:rPr>
                <w:sz w:val="24"/>
              </w:rPr>
            </w:pPr>
            <w:r>
              <w:rPr>
                <w:sz w:val="24"/>
              </w:rPr>
              <w:t>±0,43</w:t>
            </w:r>
          </w:p>
        </w:tc>
        <w:tc>
          <w:tcPr>
            <w:tcW w:w="1572" w:type="dxa"/>
          </w:tcPr>
          <w:p>
            <w:pPr>
              <w:pStyle w:val="TableParagraph"/>
              <w:ind w:right="93"/>
              <w:rPr>
                <w:sz w:val="24"/>
              </w:rPr>
            </w:pPr>
            <w:r>
              <w:rPr>
                <w:sz w:val="24"/>
              </w:rPr>
              <w:t>-130,798</w:t>
            </w:r>
          </w:p>
          <w:p>
            <w:pPr>
              <w:pStyle w:val="TableParagraph"/>
              <w:spacing w:line="255" w:lineRule="exact"/>
              <w:ind w:right="92"/>
              <w:rPr>
                <w:sz w:val="24"/>
              </w:rPr>
            </w:pPr>
            <w:r>
              <w:rPr>
                <w:sz w:val="24"/>
              </w:rPr>
              <w:t>±0,37</w:t>
            </w:r>
          </w:p>
        </w:tc>
        <w:tc>
          <w:tcPr>
            <w:tcW w:w="1572" w:type="dxa"/>
          </w:tcPr>
          <w:p>
            <w:pPr>
              <w:pStyle w:val="TableParagraph"/>
              <w:ind w:right="95"/>
              <w:rPr>
                <w:sz w:val="24"/>
              </w:rPr>
            </w:pPr>
            <w:r>
              <w:rPr>
                <w:sz w:val="24"/>
              </w:rPr>
              <w:t>-81,530</w:t>
            </w:r>
          </w:p>
          <w:p>
            <w:pPr>
              <w:pStyle w:val="TableParagraph"/>
              <w:spacing w:line="255" w:lineRule="exact"/>
              <w:ind w:right="94"/>
              <w:rPr>
                <w:sz w:val="24"/>
              </w:rPr>
            </w:pPr>
            <w:r>
              <w:rPr>
                <w:sz w:val="24"/>
              </w:rPr>
              <w:t>±0,54</w:t>
            </w:r>
          </w:p>
        </w:tc>
        <w:tc>
          <w:tcPr>
            <w:tcW w:w="1570" w:type="dxa"/>
          </w:tcPr>
          <w:p>
            <w:pPr>
              <w:pStyle w:val="TableParagraph"/>
              <w:ind w:right="96"/>
              <w:rPr>
                <w:sz w:val="24"/>
              </w:rPr>
            </w:pPr>
            <w:r>
              <w:rPr>
                <w:sz w:val="24"/>
              </w:rPr>
              <w:t>-0,0017</w:t>
            </w:r>
          </w:p>
          <w:p>
            <w:pPr>
              <w:pStyle w:val="TableParagraph"/>
              <w:spacing w:line="255" w:lineRule="exact"/>
              <w:ind w:right="92"/>
              <w:rPr>
                <w:sz w:val="24"/>
              </w:rPr>
            </w:pPr>
            <w:r>
              <w:rPr>
                <w:sz w:val="24"/>
              </w:rPr>
              <w:t>±10</w:t>
            </w:r>
          </w:p>
        </w:tc>
        <w:tc>
          <w:tcPr>
            <w:tcW w:w="1572" w:type="dxa"/>
          </w:tcPr>
          <w:p>
            <w:pPr>
              <w:pStyle w:val="TableParagraph"/>
              <w:ind w:right="93"/>
              <w:rPr>
                <w:sz w:val="24"/>
              </w:rPr>
            </w:pPr>
            <w:r>
              <w:rPr>
                <w:sz w:val="24"/>
              </w:rPr>
              <w:t>+0,0036</w:t>
            </w:r>
          </w:p>
          <w:p>
            <w:pPr>
              <w:pStyle w:val="TableParagraph"/>
              <w:spacing w:line="255" w:lineRule="exact"/>
              <w:ind w:right="92"/>
              <w:rPr>
                <w:sz w:val="24"/>
              </w:rPr>
            </w:pPr>
            <w:r>
              <w:rPr>
                <w:sz w:val="24"/>
              </w:rPr>
              <w:t>±10</w:t>
            </w:r>
          </w:p>
        </w:tc>
        <w:tc>
          <w:tcPr>
            <w:tcW w:w="1570" w:type="dxa"/>
          </w:tcPr>
          <w:p>
            <w:pPr>
              <w:pStyle w:val="TableParagraph"/>
              <w:ind w:right="95"/>
              <w:rPr>
                <w:sz w:val="24"/>
              </w:rPr>
            </w:pPr>
            <w:r>
              <w:rPr>
                <w:sz w:val="24"/>
              </w:rPr>
              <w:t>+0,1343</w:t>
            </w:r>
          </w:p>
          <w:p>
            <w:pPr>
              <w:pStyle w:val="TableParagraph"/>
              <w:spacing w:line="255" w:lineRule="exact"/>
              <w:ind w:right="94"/>
              <w:rPr>
                <w:sz w:val="24"/>
              </w:rPr>
            </w:pPr>
            <w:r>
              <w:rPr>
                <w:sz w:val="24"/>
              </w:rPr>
              <w:t>±10</w:t>
            </w:r>
          </w:p>
        </w:tc>
        <w:tc>
          <w:tcPr>
            <w:tcW w:w="1572" w:type="dxa"/>
          </w:tcPr>
          <w:p>
            <w:pPr>
              <w:pStyle w:val="TableParagraph"/>
              <w:ind w:right="93"/>
              <w:rPr>
                <w:sz w:val="24"/>
              </w:rPr>
            </w:pPr>
            <w:r>
              <w:rPr>
                <w:sz w:val="24"/>
              </w:rPr>
              <w:t>-0,2274</w:t>
            </w:r>
          </w:p>
          <w:p>
            <w:pPr>
              <w:pStyle w:val="TableParagraph"/>
              <w:spacing w:line="255" w:lineRule="exact"/>
              <w:ind w:right="93"/>
              <w:rPr>
                <w:sz w:val="24"/>
              </w:rPr>
            </w:pPr>
            <w:r>
              <w:rPr>
                <w:sz w:val="24"/>
              </w:rPr>
              <w:t>±0,2</w:t>
            </w:r>
          </w:p>
        </w:tc>
      </w:tr>
      <w:tr>
        <w:trPr>
          <w:trHeight w:val="551" w:hRule="atLeast"/>
        </w:trPr>
        <w:tc>
          <w:tcPr>
            <w:tcW w:w="545" w:type="dxa"/>
          </w:tcPr>
          <w:p>
            <w:pPr>
              <w:pStyle w:val="TableParagraph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632" w:type="dxa"/>
          </w:tcPr>
          <w:p>
            <w:pPr>
              <w:pStyle w:val="TableParagraph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СК-95</w:t>
            </w:r>
          </w:p>
        </w:tc>
        <w:tc>
          <w:tcPr>
            <w:tcW w:w="1613" w:type="dxa"/>
          </w:tcPr>
          <w:p>
            <w:pPr>
              <w:pStyle w:val="TableParagraph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WGS-84</w:t>
            </w:r>
          </w:p>
          <w:p>
            <w:pPr>
              <w:pStyle w:val="TableParagraph"/>
              <w:spacing w:line="255" w:lineRule="exact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(G1150)</w:t>
            </w:r>
          </w:p>
        </w:tc>
        <w:tc>
          <w:tcPr>
            <w:tcW w:w="1570" w:type="dxa"/>
          </w:tcPr>
          <w:p>
            <w:pPr>
              <w:pStyle w:val="TableParagraph"/>
              <w:ind w:right="93"/>
              <w:rPr>
                <w:sz w:val="24"/>
              </w:rPr>
            </w:pPr>
            <w:r>
              <w:rPr>
                <w:sz w:val="24"/>
              </w:rPr>
              <w:t>+24,470</w:t>
            </w:r>
          </w:p>
        </w:tc>
        <w:tc>
          <w:tcPr>
            <w:tcW w:w="1572" w:type="dxa"/>
          </w:tcPr>
          <w:p>
            <w:pPr>
              <w:pStyle w:val="TableParagraph"/>
              <w:ind w:right="92"/>
              <w:rPr>
                <w:sz w:val="24"/>
              </w:rPr>
            </w:pPr>
            <w:r>
              <w:rPr>
                <w:sz w:val="24"/>
              </w:rPr>
              <w:t>-130,890</w:t>
            </w:r>
          </w:p>
        </w:tc>
        <w:tc>
          <w:tcPr>
            <w:tcW w:w="1572" w:type="dxa"/>
          </w:tcPr>
          <w:p>
            <w:pPr>
              <w:pStyle w:val="TableParagraph"/>
              <w:ind w:right="95"/>
              <w:rPr>
                <w:sz w:val="24"/>
              </w:rPr>
            </w:pPr>
            <w:r>
              <w:rPr>
                <w:sz w:val="24"/>
              </w:rPr>
              <w:t>-81,560</w:t>
            </w:r>
          </w:p>
        </w:tc>
        <w:tc>
          <w:tcPr>
            <w:tcW w:w="1570" w:type="dxa"/>
          </w:tcPr>
          <w:p>
            <w:pPr>
              <w:pStyle w:val="TableParagraph"/>
              <w:ind w:right="92"/>
              <w:rPr>
                <w:sz w:val="24"/>
              </w:rPr>
            </w:pPr>
            <w:r>
              <w:rPr>
                <w:sz w:val="24"/>
              </w:rPr>
              <w:t>0,0000</w:t>
            </w:r>
          </w:p>
        </w:tc>
        <w:tc>
          <w:tcPr>
            <w:tcW w:w="1572" w:type="dxa"/>
          </w:tcPr>
          <w:p>
            <w:pPr>
              <w:pStyle w:val="TableParagraph"/>
              <w:ind w:right="92"/>
              <w:rPr>
                <w:sz w:val="24"/>
              </w:rPr>
            </w:pPr>
            <w:r>
              <w:rPr>
                <w:sz w:val="24"/>
              </w:rPr>
              <w:t>0,0000</w:t>
            </w:r>
          </w:p>
        </w:tc>
        <w:tc>
          <w:tcPr>
            <w:tcW w:w="1570" w:type="dxa"/>
          </w:tcPr>
          <w:p>
            <w:pPr>
              <w:pStyle w:val="TableParagraph"/>
              <w:ind w:right="94"/>
              <w:rPr>
                <w:sz w:val="24"/>
              </w:rPr>
            </w:pPr>
            <w:r>
              <w:rPr>
                <w:sz w:val="24"/>
              </w:rPr>
              <w:t>-0,1300</w:t>
            </w:r>
          </w:p>
        </w:tc>
        <w:tc>
          <w:tcPr>
            <w:tcW w:w="1572" w:type="dxa"/>
          </w:tcPr>
          <w:p>
            <w:pPr>
              <w:pStyle w:val="TableParagraph"/>
              <w:ind w:right="94"/>
              <w:rPr>
                <w:sz w:val="24"/>
              </w:rPr>
            </w:pPr>
            <w:r>
              <w:rPr>
                <w:sz w:val="24"/>
              </w:rPr>
              <w:t>-0,2200</w:t>
            </w:r>
          </w:p>
        </w:tc>
      </w:tr>
      <w:tr>
        <w:trPr>
          <w:trHeight w:val="551" w:hRule="atLeast"/>
        </w:trPr>
        <w:tc>
          <w:tcPr>
            <w:tcW w:w="545" w:type="dxa"/>
          </w:tcPr>
          <w:p>
            <w:pPr>
              <w:pStyle w:val="TableParagraph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632" w:type="dxa"/>
          </w:tcPr>
          <w:p>
            <w:pPr>
              <w:pStyle w:val="TableParagraph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WGS-84</w:t>
            </w:r>
          </w:p>
          <w:p>
            <w:pPr>
              <w:pStyle w:val="TableParagraph"/>
              <w:spacing w:line="255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(G1150)</w:t>
            </w:r>
          </w:p>
        </w:tc>
        <w:tc>
          <w:tcPr>
            <w:tcW w:w="1613" w:type="dxa"/>
          </w:tcPr>
          <w:p>
            <w:pPr>
              <w:pStyle w:val="TableParagraph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ГСК-2011</w:t>
            </w:r>
          </w:p>
        </w:tc>
        <w:tc>
          <w:tcPr>
            <w:tcW w:w="1570" w:type="dxa"/>
          </w:tcPr>
          <w:p>
            <w:pPr>
              <w:pStyle w:val="TableParagraph"/>
              <w:ind w:right="92"/>
              <w:rPr>
                <w:sz w:val="24"/>
              </w:rPr>
            </w:pPr>
            <w:r>
              <w:rPr>
                <w:sz w:val="24"/>
              </w:rPr>
              <w:t>-0,013</w:t>
            </w:r>
          </w:p>
        </w:tc>
        <w:tc>
          <w:tcPr>
            <w:tcW w:w="1572" w:type="dxa"/>
          </w:tcPr>
          <w:p>
            <w:pPr>
              <w:pStyle w:val="TableParagraph"/>
              <w:ind w:right="92"/>
              <w:rPr>
                <w:sz w:val="24"/>
              </w:rPr>
            </w:pPr>
            <w:r>
              <w:rPr>
                <w:sz w:val="24"/>
              </w:rPr>
              <w:t>+0,092</w:t>
            </w:r>
          </w:p>
        </w:tc>
        <w:tc>
          <w:tcPr>
            <w:tcW w:w="1572" w:type="dxa"/>
          </w:tcPr>
          <w:p>
            <w:pPr>
              <w:pStyle w:val="TableParagraph"/>
              <w:ind w:right="95"/>
              <w:rPr>
                <w:sz w:val="24"/>
              </w:rPr>
            </w:pPr>
            <w:r>
              <w:rPr>
                <w:sz w:val="24"/>
              </w:rPr>
              <w:t>+0,030</w:t>
            </w:r>
          </w:p>
        </w:tc>
        <w:tc>
          <w:tcPr>
            <w:tcW w:w="1570" w:type="dxa"/>
          </w:tcPr>
          <w:p>
            <w:pPr>
              <w:pStyle w:val="TableParagraph"/>
              <w:ind w:right="93"/>
              <w:rPr>
                <w:sz w:val="24"/>
              </w:rPr>
            </w:pPr>
            <w:r>
              <w:rPr>
                <w:sz w:val="24"/>
              </w:rPr>
              <w:t>-0,0017</w:t>
            </w:r>
          </w:p>
        </w:tc>
        <w:tc>
          <w:tcPr>
            <w:tcW w:w="1572" w:type="dxa"/>
          </w:tcPr>
          <w:p>
            <w:pPr>
              <w:pStyle w:val="TableParagraph"/>
              <w:ind w:right="93"/>
              <w:rPr>
                <w:sz w:val="24"/>
              </w:rPr>
            </w:pPr>
            <w:r>
              <w:rPr>
                <w:sz w:val="24"/>
              </w:rPr>
              <w:t>+0,0036</w:t>
            </w:r>
          </w:p>
        </w:tc>
        <w:tc>
          <w:tcPr>
            <w:tcW w:w="1570" w:type="dxa"/>
          </w:tcPr>
          <w:p>
            <w:pPr>
              <w:pStyle w:val="TableParagraph"/>
              <w:ind w:right="93"/>
              <w:rPr>
                <w:sz w:val="24"/>
              </w:rPr>
            </w:pPr>
            <w:r>
              <w:rPr>
                <w:sz w:val="24"/>
              </w:rPr>
              <w:t>-0,0043</w:t>
            </w:r>
          </w:p>
        </w:tc>
        <w:tc>
          <w:tcPr>
            <w:tcW w:w="1572" w:type="dxa"/>
          </w:tcPr>
          <w:p>
            <w:pPr>
              <w:pStyle w:val="TableParagraph"/>
              <w:ind w:right="93"/>
              <w:rPr>
                <w:sz w:val="24"/>
              </w:rPr>
            </w:pPr>
            <w:r>
              <w:rPr>
                <w:sz w:val="24"/>
              </w:rPr>
              <w:t>-0,0074</w:t>
            </w:r>
          </w:p>
        </w:tc>
      </w:tr>
      <w:tr>
        <w:trPr>
          <w:trHeight w:val="554" w:hRule="atLeast"/>
        </w:trPr>
        <w:tc>
          <w:tcPr>
            <w:tcW w:w="545" w:type="dxa"/>
          </w:tcPr>
          <w:p>
            <w:pPr>
              <w:pStyle w:val="TableParagraph"/>
              <w:spacing w:before="2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632" w:type="dxa"/>
          </w:tcPr>
          <w:p>
            <w:pPr>
              <w:pStyle w:val="TableParagraph"/>
              <w:spacing w:before="2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WGS-84</w:t>
            </w:r>
          </w:p>
          <w:p>
            <w:pPr>
              <w:pStyle w:val="TableParagraph"/>
              <w:spacing w:line="255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(G1150)</w:t>
            </w:r>
          </w:p>
        </w:tc>
        <w:tc>
          <w:tcPr>
            <w:tcW w:w="1613" w:type="dxa"/>
          </w:tcPr>
          <w:p>
            <w:pPr>
              <w:pStyle w:val="TableParagraph"/>
              <w:spacing w:before="2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ПЗ-90.11</w:t>
            </w:r>
          </w:p>
        </w:tc>
        <w:tc>
          <w:tcPr>
            <w:tcW w:w="1570" w:type="dxa"/>
          </w:tcPr>
          <w:p>
            <w:pPr>
              <w:pStyle w:val="TableParagraph"/>
              <w:spacing w:before="2"/>
              <w:ind w:right="92"/>
              <w:rPr>
                <w:sz w:val="24"/>
              </w:rPr>
            </w:pPr>
            <w:r>
              <w:rPr>
                <w:sz w:val="24"/>
              </w:rPr>
              <w:t>-0,013</w:t>
            </w:r>
          </w:p>
        </w:tc>
        <w:tc>
          <w:tcPr>
            <w:tcW w:w="1572" w:type="dxa"/>
          </w:tcPr>
          <w:p>
            <w:pPr>
              <w:pStyle w:val="TableParagraph"/>
              <w:spacing w:before="2"/>
              <w:ind w:right="92"/>
              <w:rPr>
                <w:sz w:val="24"/>
              </w:rPr>
            </w:pPr>
            <w:r>
              <w:rPr>
                <w:sz w:val="24"/>
              </w:rPr>
              <w:t>+0,106</w:t>
            </w:r>
          </w:p>
        </w:tc>
        <w:tc>
          <w:tcPr>
            <w:tcW w:w="1572" w:type="dxa"/>
          </w:tcPr>
          <w:p>
            <w:pPr>
              <w:pStyle w:val="TableParagraph"/>
              <w:spacing w:before="2"/>
              <w:ind w:right="94"/>
              <w:rPr>
                <w:sz w:val="24"/>
              </w:rPr>
            </w:pPr>
            <w:r>
              <w:rPr>
                <w:sz w:val="24"/>
              </w:rPr>
              <w:t>+0,022</w:t>
            </w:r>
          </w:p>
        </w:tc>
        <w:tc>
          <w:tcPr>
            <w:tcW w:w="1570" w:type="dxa"/>
          </w:tcPr>
          <w:p>
            <w:pPr>
              <w:pStyle w:val="TableParagraph"/>
              <w:spacing w:before="2"/>
              <w:ind w:right="93"/>
              <w:rPr>
                <w:sz w:val="24"/>
              </w:rPr>
            </w:pPr>
            <w:r>
              <w:rPr>
                <w:sz w:val="24"/>
              </w:rPr>
              <w:t>-0,0023</w:t>
            </w:r>
          </w:p>
        </w:tc>
        <w:tc>
          <w:tcPr>
            <w:tcW w:w="1572" w:type="dxa"/>
          </w:tcPr>
          <w:p>
            <w:pPr>
              <w:pStyle w:val="TableParagraph"/>
              <w:spacing w:before="2"/>
              <w:ind w:right="93"/>
              <w:rPr>
                <w:sz w:val="24"/>
              </w:rPr>
            </w:pPr>
            <w:r>
              <w:rPr>
                <w:sz w:val="24"/>
              </w:rPr>
              <w:t>+0,0035</w:t>
            </w:r>
          </w:p>
        </w:tc>
        <w:tc>
          <w:tcPr>
            <w:tcW w:w="1570" w:type="dxa"/>
          </w:tcPr>
          <w:p>
            <w:pPr>
              <w:pStyle w:val="TableParagraph"/>
              <w:spacing w:before="2"/>
              <w:ind w:right="94"/>
              <w:rPr>
                <w:sz w:val="24"/>
              </w:rPr>
            </w:pPr>
            <w:r>
              <w:rPr>
                <w:sz w:val="24"/>
              </w:rPr>
              <w:t>-0,0042</w:t>
            </w:r>
          </w:p>
        </w:tc>
        <w:tc>
          <w:tcPr>
            <w:tcW w:w="1572" w:type="dxa"/>
          </w:tcPr>
          <w:p>
            <w:pPr>
              <w:pStyle w:val="TableParagraph"/>
              <w:spacing w:before="2"/>
              <w:ind w:right="94"/>
              <w:rPr>
                <w:sz w:val="24"/>
              </w:rPr>
            </w:pPr>
            <w:r>
              <w:rPr>
                <w:sz w:val="24"/>
              </w:rPr>
              <w:t>-0,0080</w:t>
            </w:r>
          </w:p>
        </w:tc>
      </w:tr>
      <w:tr>
        <w:trPr>
          <w:trHeight w:val="551" w:hRule="atLeast"/>
        </w:trPr>
        <w:tc>
          <w:tcPr>
            <w:tcW w:w="545" w:type="dxa"/>
          </w:tcPr>
          <w:p>
            <w:pPr>
              <w:pStyle w:val="TableParagraph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632" w:type="dxa"/>
          </w:tcPr>
          <w:p>
            <w:pPr>
              <w:pStyle w:val="TableParagraph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ITRF-2008</w:t>
            </w:r>
          </w:p>
        </w:tc>
        <w:tc>
          <w:tcPr>
            <w:tcW w:w="1613" w:type="dxa"/>
          </w:tcPr>
          <w:p>
            <w:pPr>
              <w:pStyle w:val="TableParagraph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ГСК-2011</w:t>
            </w:r>
          </w:p>
        </w:tc>
        <w:tc>
          <w:tcPr>
            <w:tcW w:w="1570" w:type="dxa"/>
          </w:tcPr>
          <w:p>
            <w:pPr>
              <w:pStyle w:val="TableParagraph"/>
              <w:ind w:right="92"/>
              <w:rPr>
                <w:sz w:val="24"/>
              </w:rPr>
            </w:pPr>
            <w:r>
              <w:rPr>
                <w:sz w:val="24"/>
              </w:rPr>
              <w:t>+0,002</w:t>
            </w:r>
          </w:p>
          <w:p>
            <w:pPr>
              <w:pStyle w:val="TableParagraph"/>
              <w:spacing w:line="255" w:lineRule="exact"/>
              <w:ind w:right="92"/>
              <w:rPr>
                <w:sz w:val="24"/>
              </w:rPr>
            </w:pPr>
            <w:r>
              <w:rPr>
                <w:sz w:val="24"/>
              </w:rPr>
              <w:t>±0,01</w:t>
            </w:r>
          </w:p>
        </w:tc>
        <w:tc>
          <w:tcPr>
            <w:tcW w:w="1572" w:type="dxa"/>
          </w:tcPr>
          <w:p>
            <w:pPr>
              <w:pStyle w:val="TableParagraph"/>
              <w:ind w:left="783"/>
              <w:jc w:val="left"/>
              <w:rPr>
                <w:sz w:val="24"/>
              </w:rPr>
            </w:pPr>
            <w:r>
              <w:rPr>
                <w:sz w:val="24"/>
              </w:rPr>
              <w:t>-0,003</w:t>
            </w:r>
          </w:p>
          <w:p>
            <w:pPr>
              <w:pStyle w:val="TableParagraph"/>
              <w:spacing w:line="255" w:lineRule="exact"/>
              <w:ind w:left="865"/>
              <w:jc w:val="left"/>
              <w:rPr>
                <w:sz w:val="24"/>
              </w:rPr>
            </w:pPr>
            <w:r>
              <w:rPr>
                <w:sz w:val="24"/>
              </w:rPr>
              <w:t>±0,02</w:t>
            </w:r>
          </w:p>
        </w:tc>
        <w:tc>
          <w:tcPr>
            <w:tcW w:w="1572" w:type="dxa"/>
          </w:tcPr>
          <w:p>
            <w:pPr>
              <w:pStyle w:val="TableParagraph"/>
              <w:ind w:left="781"/>
              <w:jc w:val="left"/>
              <w:rPr>
                <w:sz w:val="24"/>
              </w:rPr>
            </w:pPr>
            <w:r>
              <w:rPr>
                <w:sz w:val="24"/>
              </w:rPr>
              <w:t>-0,003</w:t>
            </w:r>
          </w:p>
          <w:p>
            <w:pPr>
              <w:pStyle w:val="TableParagraph"/>
              <w:spacing w:line="255" w:lineRule="exact"/>
              <w:ind w:left="862"/>
              <w:jc w:val="left"/>
              <w:rPr>
                <w:sz w:val="24"/>
              </w:rPr>
            </w:pPr>
            <w:r>
              <w:rPr>
                <w:sz w:val="24"/>
              </w:rPr>
              <w:t>±0,01</w:t>
            </w:r>
          </w:p>
        </w:tc>
        <w:tc>
          <w:tcPr>
            <w:tcW w:w="1570" w:type="dxa"/>
          </w:tcPr>
          <w:p>
            <w:pPr>
              <w:pStyle w:val="TableParagraph"/>
              <w:ind w:right="92"/>
              <w:rPr>
                <w:sz w:val="24"/>
              </w:rPr>
            </w:pPr>
            <w:r>
              <w:rPr>
                <w:sz w:val="24"/>
              </w:rPr>
              <w:t>+0,000053</w:t>
            </w:r>
          </w:p>
          <w:p>
            <w:pPr>
              <w:pStyle w:val="TableParagraph"/>
              <w:spacing w:line="255" w:lineRule="exact"/>
              <w:ind w:right="93"/>
              <w:rPr>
                <w:sz w:val="24"/>
              </w:rPr>
            </w:pPr>
            <w:r>
              <w:rPr>
                <w:sz w:val="24"/>
              </w:rPr>
              <w:t>±0,7</w:t>
            </w:r>
          </w:p>
        </w:tc>
        <w:tc>
          <w:tcPr>
            <w:tcW w:w="1572" w:type="dxa"/>
          </w:tcPr>
          <w:p>
            <w:pPr>
              <w:pStyle w:val="TableParagraph"/>
              <w:ind w:right="92"/>
              <w:rPr>
                <w:sz w:val="24"/>
              </w:rPr>
            </w:pPr>
            <w:r>
              <w:rPr>
                <w:sz w:val="24"/>
              </w:rPr>
              <w:t>+0,000093</w:t>
            </w:r>
          </w:p>
          <w:p>
            <w:pPr>
              <w:pStyle w:val="TableParagraph"/>
              <w:spacing w:line="255" w:lineRule="exact"/>
              <w:ind w:right="92"/>
              <w:rPr>
                <w:sz w:val="24"/>
              </w:rPr>
            </w:pPr>
            <w:r>
              <w:rPr>
                <w:sz w:val="24"/>
              </w:rPr>
              <w:t>±0,26</w:t>
            </w:r>
          </w:p>
        </w:tc>
        <w:tc>
          <w:tcPr>
            <w:tcW w:w="1570" w:type="dxa"/>
          </w:tcPr>
          <w:p>
            <w:pPr>
              <w:pStyle w:val="TableParagraph"/>
              <w:ind w:right="95"/>
              <w:rPr>
                <w:sz w:val="24"/>
              </w:rPr>
            </w:pPr>
            <w:r>
              <w:rPr>
                <w:sz w:val="24"/>
              </w:rPr>
              <w:t>-0,000012</w:t>
            </w:r>
          </w:p>
          <w:p>
            <w:pPr>
              <w:pStyle w:val="TableParagraph"/>
              <w:spacing w:line="255" w:lineRule="exact"/>
              <w:ind w:right="93"/>
              <w:rPr>
                <w:sz w:val="24"/>
              </w:rPr>
            </w:pPr>
            <w:r>
              <w:rPr>
                <w:sz w:val="24"/>
              </w:rPr>
              <w:t>±0,23</w:t>
            </w:r>
          </w:p>
        </w:tc>
        <w:tc>
          <w:tcPr>
            <w:tcW w:w="1572" w:type="dxa"/>
          </w:tcPr>
          <w:p>
            <w:pPr>
              <w:pStyle w:val="TableParagraph"/>
              <w:ind w:right="94"/>
              <w:rPr>
                <w:sz w:val="24"/>
              </w:rPr>
            </w:pPr>
            <w:r>
              <w:rPr>
                <w:sz w:val="24"/>
              </w:rPr>
              <w:t>+0,0008</w:t>
            </w:r>
          </w:p>
          <w:p>
            <w:pPr>
              <w:pStyle w:val="TableParagraph"/>
              <w:spacing w:line="255" w:lineRule="exact"/>
              <w:ind w:right="94"/>
              <w:rPr>
                <w:sz w:val="24"/>
              </w:rPr>
            </w:pPr>
            <w:r>
              <w:rPr>
                <w:sz w:val="24"/>
              </w:rPr>
              <w:t>±0,001</w:t>
            </w:r>
          </w:p>
        </w:tc>
      </w:tr>
      <w:tr>
        <w:trPr>
          <w:trHeight w:val="551" w:hRule="atLeast"/>
        </w:trPr>
        <w:tc>
          <w:tcPr>
            <w:tcW w:w="545" w:type="dxa"/>
          </w:tcPr>
          <w:p>
            <w:pPr>
              <w:pStyle w:val="TableParagraph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632" w:type="dxa"/>
          </w:tcPr>
          <w:p>
            <w:pPr>
              <w:pStyle w:val="TableParagraph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ITRF-2008</w:t>
            </w:r>
          </w:p>
        </w:tc>
        <w:tc>
          <w:tcPr>
            <w:tcW w:w="1613" w:type="dxa"/>
          </w:tcPr>
          <w:p>
            <w:pPr>
              <w:pStyle w:val="TableParagraph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ПЗ-90.11</w:t>
            </w:r>
          </w:p>
        </w:tc>
        <w:tc>
          <w:tcPr>
            <w:tcW w:w="1570" w:type="dxa"/>
          </w:tcPr>
          <w:p>
            <w:pPr>
              <w:pStyle w:val="TableParagraph"/>
              <w:ind w:right="94"/>
              <w:rPr>
                <w:sz w:val="24"/>
              </w:rPr>
            </w:pPr>
            <w:r>
              <w:rPr>
                <w:sz w:val="24"/>
              </w:rPr>
              <w:t>0,003</w:t>
            </w:r>
          </w:p>
        </w:tc>
        <w:tc>
          <w:tcPr>
            <w:tcW w:w="1572" w:type="dxa"/>
          </w:tcPr>
          <w:p>
            <w:pPr>
              <w:pStyle w:val="TableParagraph"/>
              <w:ind w:right="94"/>
              <w:rPr>
                <w:sz w:val="24"/>
              </w:rPr>
            </w:pPr>
            <w:r>
              <w:rPr>
                <w:sz w:val="24"/>
              </w:rPr>
              <w:t>0,001</w:t>
            </w:r>
          </w:p>
        </w:tc>
        <w:tc>
          <w:tcPr>
            <w:tcW w:w="1572" w:type="dxa"/>
          </w:tcPr>
          <w:p>
            <w:pPr>
              <w:pStyle w:val="TableParagraph"/>
              <w:ind w:right="94"/>
              <w:rPr>
                <w:sz w:val="24"/>
              </w:rPr>
            </w:pPr>
            <w:r>
              <w:rPr>
                <w:sz w:val="24"/>
              </w:rPr>
              <w:t>-0,000</w:t>
            </w:r>
          </w:p>
        </w:tc>
        <w:tc>
          <w:tcPr>
            <w:tcW w:w="1570" w:type="dxa"/>
          </w:tcPr>
          <w:p>
            <w:pPr>
              <w:pStyle w:val="TableParagraph"/>
              <w:ind w:right="93"/>
              <w:rPr>
                <w:sz w:val="24"/>
              </w:rPr>
            </w:pPr>
            <w:r>
              <w:rPr>
                <w:sz w:val="24"/>
              </w:rPr>
              <w:t>-0,000019</w:t>
            </w:r>
          </w:p>
        </w:tc>
        <w:tc>
          <w:tcPr>
            <w:tcW w:w="1572" w:type="dxa"/>
          </w:tcPr>
          <w:p>
            <w:pPr>
              <w:pStyle w:val="TableParagraph"/>
              <w:ind w:right="92"/>
              <w:rPr>
                <w:sz w:val="24"/>
              </w:rPr>
            </w:pPr>
            <w:r>
              <w:rPr>
                <w:sz w:val="24"/>
              </w:rPr>
              <w:t>+0,000042</w:t>
            </w:r>
          </w:p>
        </w:tc>
        <w:tc>
          <w:tcPr>
            <w:tcW w:w="1570" w:type="dxa"/>
          </w:tcPr>
          <w:p>
            <w:pPr>
              <w:pStyle w:val="TableParagraph"/>
              <w:ind w:right="93"/>
              <w:rPr>
                <w:sz w:val="24"/>
              </w:rPr>
            </w:pPr>
            <w:r>
              <w:rPr>
                <w:sz w:val="24"/>
              </w:rPr>
              <w:t>-0,000002</w:t>
            </w:r>
          </w:p>
        </w:tc>
        <w:tc>
          <w:tcPr>
            <w:tcW w:w="1572" w:type="dxa"/>
          </w:tcPr>
          <w:p>
            <w:pPr>
              <w:pStyle w:val="TableParagraph"/>
              <w:ind w:right="93"/>
              <w:rPr>
                <w:sz w:val="24"/>
              </w:rPr>
            </w:pPr>
            <w:r>
              <w:rPr>
                <w:sz w:val="24"/>
              </w:rPr>
              <w:t>-0,0000</w:t>
            </w:r>
          </w:p>
        </w:tc>
      </w:tr>
      <w:tr>
        <w:trPr>
          <w:trHeight w:val="551" w:hRule="atLeast"/>
        </w:trPr>
        <w:tc>
          <w:tcPr>
            <w:tcW w:w="545" w:type="dxa"/>
          </w:tcPr>
          <w:p>
            <w:pPr>
              <w:pStyle w:val="TableParagraph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632" w:type="dxa"/>
          </w:tcPr>
          <w:p>
            <w:pPr>
              <w:pStyle w:val="TableParagraph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ПЗ-90.11</w:t>
            </w:r>
          </w:p>
        </w:tc>
        <w:tc>
          <w:tcPr>
            <w:tcW w:w="1613" w:type="dxa"/>
          </w:tcPr>
          <w:p>
            <w:pPr>
              <w:pStyle w:val="TableParagraph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ГСК-2011</w:t>
            </w:r>
          </w:p>
        </w:tc>
        <w:tc>
          <w:tcPr>
            <w:tcW w:w="1570" w:type="dxa"/>
          </w:tcPr>
          <w:p>
            <w:pPr>
              <w:pStyle w:val="TableParagraph"/>
              <w:ind w:right="92"/>
              <w:rPr>
                <w:sz w:val="24"/>
              </w:rPr>
            </w:pPr>
            <w:r>
              <w:rPr>
                <w:sz w:val="24"/>
              </w:rPr>
              <w:t>+0,000</w:t>
            </w:r>
          </w:p>
          <w:p>
            <w:pPr>
              <w:pStyle w:val="TableParagraph"/>
              <w:spacing w:line="255" w:lineRule="exact"/>
              <w:ind w:right="92"/>
              <w:rPr>
                <w:sz w:val="24"/>
              </w:rPr>
            </w:pPr>
            <w:r>
              <w:rPr>
                <w:sz w:val="24"/>
              </w:rPr>
              <w:t>±0,01</w:t>
            </w:r>
          </w:p>
        </w:tc>
        <w:tc>
          <w:tcPr>
            <w:tcW w:w="1572" w:type="dxa"/>
          </w:tcPr>
          <w:p>
            <w:pPr>
              <w:pStyle w:val="TableParagraph"/>
              <w:ind w:left="783"/>
              <w:jc w:val="left"/>
              <w:rPr>
                <w:sz w:val="24"/>
              </w:rPr>
            </w:pPr>
            <w:r>
              <w:rPr>
                <w:sz w:val="24"/>
              </w:rPr>
              <w:t>-0,014</w:t>
            </w:r>
          </w:p>
          <w:p>
            <w:pPr>
              <w:pStyle w:val="TableParagraph"/>
              <w:spacing w:line="255" w:lineRule="exact"/>
              <w:ind w:left="865"/>
              <w:jc w:val="left"/>
              <w:rPr>
                <w:sz w:val="24"/>
              </w:rPr>
            </w:pPr>
            <w:r>
              <w:rPr>
                <w:sz w:val="24"/>
              </w:rPr>
              <w:t>±0,02</w:t>
            </w:r>
          </w:p>
        </w:tc>
        <w:tc>
          <w:tcPr>
            <w:tcW w:w="1572" w:type="dxa"/>
          </w:tcPr>
          <w:p>
            <w:pPr>
              <w:pStyle w:val="TableParagraph"/>
              <w:ind w:right="94"/>
              <w:rPr>
                <w:sz w:val="24"/>
              </w:rPr>
            </w:pPr>
            <w:r>
              <w:rPr>
                <w:sz w:val="24"/>
              </w:rPr>
              <w:t>+0,008</w:t>
            </w:r>
          </w:p>
          <w:p>
            <w:pPr>
              <w:pStyle w:val="TableParagraph"/>
              <w:spacing w:line="255" w:lineRule="exact"/>
              <w:ind w:right="94"/>
              <w:rPr>
                <w:sz w:val="24"/>
              </w:rPr>
            </w:pPr>
            <w:r>
              <w:rPr>
                <w:sz w:val="24"/>
              </w:rPr>
              <w:t>±0,01</w:t>
            </w:r>
          </w:p>
        </w:tc>
        <w:tc>
          <w:tcPr>
            <w:tcW w:w="1570" w:type="dxa"/>
          </w:tcPr>
          <w:p>
            <w:pPr>
              <w:pStyle w:val="TableParagraph"/>
              <w:ind w:right="92"/>
              <w:rPr>
                <w:sz w:val="24"/>
              </w:rPr>
            </w:pPr>
            <w:r>
              <w:rPr>
                <w:sz w:val="24"/>
              </w:rPr>
              <w:t>+0,000562</w:t>
            </w:r>
          </w:p>
          <w:p>
            <w:pPr>
              <w:pStyle w:val="TableParagraph"/>
              <w:spacing w:line="255" w:lineRule="exact"/>
              <w:ind w:right="93"/>
              <w:rPr>
                <w:sz w:val="24"/>
              </w:rPr>
            </w:pPr>
            <w:r>
              <w:rPr>
                <w:sz w:val="24"/>
              </w:rPr>
              <w:t>±0,7</w:t>
            </w:r>
          </w:p>
        </w:tc>
        <w:tc>
          <w:tcPr>
            <w:tcW w:w="1572" w:type="dxa"/>
          </w:tcPr>
          <w:p>
            <w:pPr>
              <w:pStyle w:val="TableParagraph"/>
              <w:ind w:right="92"/>
              <w:rPr>
                <w:sz w:val="24"/>
              </w:rPr>
            </w:pPr>
            <w:r>
              <w:rPr>
                <w:sz w:val="24"/>
              </w:rPr>
              <w:t>+0,000019</w:t>
            </w:r>
          </w:p>
          <w:p>
            <w:pPr>
              <w:pStyle w:val="TableParagraph"/>
              <w:spacing w:line="255" w:lineRule="exact"/>
              <w:ind w:right="92"/>
              <w:rPr>
                <w:sz w:val="24"/>
              </w:rPr>
            </w:pPr>
            <w:r>
              <w:rPr>
                <w:sz w:val="24"/>
              </w:rPr>
              <w:t>±0,26</w:t>
            </w:r>
          </w:p>
        </w:tc>
        <w:tc>
          <w:tcPr>
            <w:tcW w:w="1570" w:type="dxa"/>
          </w:tcPr>
          <w:p>
            <w:pPr>
              <w:pStyle w:val="TableParagraph"/>
              <w:ind w:right="95"/>
              <w:rPr>
                <w:sz w:val="24"/>
              </w:rPr>
            </w:pPr>
            <w:r>
              <w:rPr>
                <w:sz w:val="24"/>
              </w:rPr>
              <w:t>-0,000053</w:t>
            </w:r>
          </w:p>
          <w:p>
            <w:pPr>
              <w:pStyle w:val="TableParagraph"/>
              <w:spacing w:line="255" w:lineRule="exact"/>
              <w:ind w:right="93"/>
              <w:rPr>
                <w:sz w:val="24"/>
              </w:rPr>
            </w:pPr>
            <w:r>
              <w:rPr>
                <w:sz w:val="24"/>
              </w:rPr>
              <w:t>±0,23</w:t>
            </w:r>
          </w:p>
        </w:tc>
        <w:tc>
          <w:tcPr>
            <w:tcW w:w="1572" w:type="dxa"/>
          </w:tcPr>
          <w:p>
            <w:pPr>
              <w:pStyle w:val="TableParagraph"/>
              <w:ind w:right="94"/>
              <w:rPr>
                <w:sz w:val="24"/>
              </w:rPr>
            </w:pPr>
            <w:r>
              <w:rPr>
                <w:sz w:val="24"/>
              </w:rPr>
              <w:t>+0,0006</w:t>
            </w:r>
          </w:p>
          <w:p>
            <w:pPr>
              <w:pStyle w:val="TableParagraph"/>
              <w:spacing w:line="255" w:lineRule="exact"/>
              <w:ind w:right="94"/>
              <w:rPr>
                <w:sz w:val="24"/>
              </w:rPr>
            </w:pPr>
            <w:r>
              <w:rPr>
                <w:sz w:val="24"/>
              </w:rPr>
              <w:t>±0,001</w:t>
            </w:r>
          </w:p>
        </w:tc>
      </w:tr>
      <w:tr>
        <w:trPr>
          <w:trHeight w:val="537" w:hRule="atLeast"/>
        </w:trPr>
        <w:tc>
          <w:tcPr>
            <w:tcW w:w="14788" w:type="dxa"/>
            <w:gridSpan w:val="10"/>
          </w:tcPr>
          <w:p>
            <w:pPr>
              <w:pStyle w:val="TableParagraph"/>
              <w:spacing w:line="268" w:lineRule="exact"/>
              <w:ind w:left="110"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Примечание</w:t>
            </w:r>
            <w:r>
              <w:rPr>
                <w:rFonts w:ascii="Calibri" w:hAnsi="Calibri"/>
                <w:spacing w:val="-2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-</w:t>
            </w:r>
            <w:r>
              <w:rPr>
                <w:rFonts w:ascii="Calibri" w:hAnsi="Calibri"/>
                <w:spacing w:val="-5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Реализация</w:t>
            </w:r>
            <w:r>
              <w:rPr>
                <w:rFonts w:ascii="Calibri" w:hAnsi="Calibri"/>
                <w:spacing w:val="-3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WGS-84</w:t>
            </w:r>
            <w:r>
              <w:rPr>
                <w:rFonts w:ascii="Calibri" w:hAnsi="Calibri"/>
                <w:spacing w:val="-2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(G1150)</w:t>
            </w:r>
            <w:r>
              <w:rPr>
                <w:rFonts w:ascii="Calibri" w:hAnsi="Calibri"/>
                <w:spacing w:val="-4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относится</w:t>
            </w:r>
            <w:r>
              <w:rPr>
                <w:rFonts w:ascii="Calibri" w:hAnsi="Calibri"/>
                <w:spacing w:val="-1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к</w:t>
            </w:r>
            <w:r>
              <w:rPr>
                <w:rFonts w:ascii="Calibri" w:hAnsi="Calibri"/>
                <w:spacing w:val="-5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эпохе</w:t>
            </w:r>
            <w:r>
              <w:rPr>
                <w:rFonts w:ascii="Calibri" w:hAnsi="Calibri"/>
                <w:spacing w:val="-1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2011</w:t>
            </w:r>
            <w:r>
              <w:rPr>
                <w:rFonts w:ascii="Calibri" w:hAnsi="Calibri"/>
                <w:spacing w:val="-3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года.</w:t>
            </w:r>
            <w:r>
              <w:rPr>
                <w:rFonts w:ascii="Calibri" w:hAnsi="Calibri"/>
                <w:spacing w:val="-3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Элементы</w:t>
            </w:r>
            <w:r>
              <w:rPr>
                <w:rFonts w:ascii="Calibri" w:hAnsi="Calibri"/>
                <w:spacing w:val="-5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трансформирования</w:t>
            </w:r>
            <w:r>
              <w:rPr>
                <w:rFonts w:ascii="Calibri" w:hAnsi="Calibri"/>
                <w:spacing w:val="-3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приведены</w:t>
            </w:r>
            <w:r>
              <w:rPr>
                <w:rFonts w:ascii="Calibri" w:hAnsi="Calibri"/>
                <w:spacing w:val="-3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в</w:t>
            </w:r>
            <w:r>
              <w:rPr>
                <w:rFonts w:ascii="Calibri" w:hAnsi="Calibri"/>
                <w:spacing w:val="-3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соответствии</w:t>
            </w:r>
            <w:r>
              <w:rPr>
                <w:rFonts w:ascii="Calibri" w:hAnsi="Calibri"/>
                <w:spacing w:val="-1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с</w:t>
            </w:r>
            <w:r>
              <w:rPr>
                <w:rFonts w:ascii="Calibri" w:hAnsi="Calibri"/>
                <w:spacing w:val="-2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Приказом</w:t>
            </w:r>
          </w:p>
          <w:p>
            <w:pPr>
              <w:pStyle w:val="TableParagraph"/>
              <w:spacing w:line="249" w:lineRule="exact"/>
              <w:ind w:left="110"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Минэкономразвития</w:t>
            </w:r>
            <w:r>
              <w:rPr>
                <w:rFonts w:ascii="Calibri" w:hAnsi="Calibri"/>
                <w:spacing w:val="-4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Российской</w:t>
            </w:r>
            <w:r>
              <w:rPr>
                <w:rFonts w:ascii="Calibri" w:hAnsi="Calibri"/>
                <w:spacing w:val="-1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Федерации</w:t>
            </w:r>
            <w:r>
              <w:rPr>
                <w:rFonts w:ascii="Calibri" w:hAnsi="Calibri"/>
                <w:spacing w:val="-2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№</w:t>
            </w:r>
            <w:r>
              <w:rPr>
                <w:rFonts w:ascii="Calibri" w:hAnsi="Calibri"/>
                <w:spacing w:val="-3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П/0134</w:t>
            </w:r>
            <w:r>
              <w:rPr>
                <w:rFonts w:ascii="Calibri" w:hAnsi="Calibri"/>
                <w:spacing w:val="-2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[5]</w:t>
            </w:r>
            <w:r>
              <w:rPr>
                <w:rFonts w:ascii="Calibri" w:hAnsi="Calibri"/>
                <w:spacing w:val="-5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и</w:t>
            </w:r>
            <w:r>
              <w:rPr>
                <w:rFonts w:ascii="Calibri" w:hAnsi="Calibri"/>
                <w:spacing w:val="-4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ГОСТ</w:t>
            </w:r>
            <w:r>
              <w:rPr>
                <w:rFonts w:ascii="Calibri" w:hAnsi="Calibri"/>
                <w:spacing w:val="-2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32453-2017.</w:t>
            </w:r>
          </w:p>
        </w:tc>
      </w:tr>
    </w:tbl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Title"/>
      </w:pPr>
      <w:r>
        <w:rPr/>
        <w:t>21</w:t>
      </w:r>
    </w:p>
    <w:sectPr>
      <w:type w:val="continuous"/>
      <w:pgSz w:w="16840" w:h="11910" w:orient="landscape"/>
      <w:pgMar w:top="620" w:bottom="280" w:left="1020" w:right="8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CC"/>
    <w:family w:val="roman"/>
    <w:pitch w:val="variable"/>
  </w:font>
  <w:font w:name="Arial">
    <w:altName w:val="Arial"/>
    <w:charset w:val="CC"/>
    <w:family w:val="swiss"/>
    <w:pitch w:val="variable"/>
  </w:font>
  <w:font w:name="Cambria Math">
    <w:altName w:val="Cambria Math"/>
    <w:charset w:val="CC"/>
    <w:family w:val="roman"/>
    <w:pitch w:val="variable"/>
  </w:font>
  <w:font w:name="Calibri">
    <w:altName w:val="Calibri"/>
    <w:charset w:val="CC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4"/>
      <w:szCs w:val="24"/>
    </w:rPr>
  </w:style>
  <w:style w:styleId="Title" w:type="paragraph">
    <w:name w:val="Title"/>
    <w:basedOn w:val="Normal"/>
    <w:uiPriority w:val="1"/>
    <w:qFormat/>
    <w:pPr>
      <w:spacing w:before="250"/>
      <w:ind w:right="333"/>
      <w:jc w:val="right"/>
    </w:pPr>
    <w:rPr>
      <w:rFonts w:ascii="Arial" w:hAnsi="Arial" w:eastAsia="Arial" w:cs="Arial"/>
      <w:sz w:val="28"/>
      <w:szCs w:val="28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>
      <w:jc w:val="right"/>
    </w:pPr>
    <w:rPr>
      <w:rFonts w:ascii="Arial" w:hAnsi="Arial" w:eastAsia="Arial" w:cs="Arial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dcterms:created xsi:type="dcterms:W3CDTF">2025-07-05T19:00:13Z</dcterms:created>
  <dcterms:modified xsi:type="dcterms:W3CDTF">2025-07-05T19:00:13Z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2025-07-05T00:00:00Z</vt:filetime>
  </property>
  <property fmtid="{D5CDD505-2E9C-101B-9397-08002B2CF9AE}" pid="3" name="Creator">
    <vt:lpwstr>Acrobat PDFMaker 21 для Word</vt:lpwstr>
  </property>
  <property fmtid="{D5CDD505-2E9C-101B-9397-08002B2CF9AE}" pid="4" name="LastSaved">
    <vt:filetime>2025-07-05T00:00:00Z</vt:filetime>
  </property>
</Properties>
</file>